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center"/>
        <w:outlineLvl w:val="0"/>
        <w:rPr>
          <w:rFonts w:hint="eastAsia" w:ascii="微软雅黑" w:hAnsi="微软雅黑" w:eastAsia="微软雅黑" w:cs="微软雅黑"/>
          <w:b/>
          <w:bCs w:val="0"/>
          <w:color w:val="000000"/>
          <w:kern w:val="0"/>
          <w:sz w:val="44"/>
          <w:szCs w:val="44"/>
          <w:lang w:val="en-US"/>
        </w:rPr>
      </w:pPr>
      <w:r>
        <w:rPr>
          <w:rFonts w:hint="eastAsia" w:ascii="微软雅黑" w:hAnsi="微软雅黑" w:eastAsia="微软雅黑" w:cs="微软雅黑"/>
          <w:b/>
          <w:bCs w:val="0"/>
          <w:color w:val="000000"/>
          <w:kern w:val="0"/>
          <w:sz w:val="44"/>
          <w:szCs w:val="44"/>
          <w:lang w:val="en-US" w:eastAsia="zh-CN" w:bidi="ar"/>
        </w:rPr>
        <w:t>2020年政府信息公开工作年度报告(上海市崇明区退役军人事务局)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00" w:firstLineChars="200"/>
        <w:textAlignment w:val="auto"/>
        <w:outlineLvl w:val="9"/>
        <w:rPr>
          <w:rFonts w:hint="eastAsia"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一、总体情况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00" w:firstLineChars="200"/>
        <w:textAlignment w:val="auto"/>
        <w:outlineLvl w:val="9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2020年，</w:t>
      </w:r>
      <w:r>
        <w:rPr>
          <w:rFonts w:hint="eastAsia" w:ascii="仿宋_GB2312" w:hAnsi="仿宋_GB2312" w:eastAsia="仿宋_GB2312" w:cs="仿宋_GB2312"/>
          <w:sz w:val="30"/>
          <w:szCs w:val="30"/>
        </w:rPr>
        <w:t>我局在区委区政府的领导下，认真贯彻落实《中华人民共和国政府信息公开条例》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、《上海市政府信息公开规定》</w:t>
      </w:r>
      <w:r>
        <w:rPr>
          <w:rFonts w:hint="eastAsia" w:ascii="仿宋_GB2312" w:hAnsi="仿宋_GB2312" w:eastAsia="仿宋_GB2312" w:cs="仿宋_GB2312"/>
          <w:sz w:val="30"/>
          <w:szCs w:val="30"/>
        </w:rPr>
        <w:t>，积极推进局信息公开规范化建设，确保各项工作落到实处。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00" w:firstLineChars="200"/>
        <w:textAlignment w:val="auto"/>
        <w:outlineLvl w:val="9"/>
        <w:rPr>
          <w:rFonts w:hint="eastAsia" w:ascii="仿宋_GB2312" w:hAnsi="仿宋_GB2312" w:eastAsia="仿宋_GB2312" w:cs="仿宋_GB2312"/>
          <w:sz w:val="30"/>
          <w:szCs w:val="30"/>
          <w:lang w:val="en-US"/>
        </w:rPr>
      </w:pPr>
      <w:r>
        <w:rPr>
          <w:rFonts w:hint="eastAsia" w:ascii="楷体_GB2312" w:hAnsi="楷体_GB2312" w:eastAsia="楷体_GB2312" w:cs="楷体_GB2312"/>
          <w:sz w:val="30"/>
          <w:szCs w:val="30"/>
          <w:lang w:val="en-US" w:eastAsia="zh-CN"/>
        </w:rPr>
        <w:t>（一）主动公开政府信息情况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本局按照《条例》《规定》，坚持“公开为原则，不公开为例外”，编制政务公开标准目录，积极做好主动公开工作。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00" w:firstLineChars="200"/>
        <w:textAlignment w:val="auto"/>
        <w:outlineLvl w:val="9"/>
        <w:rPr>
          <w:rFonts w:hint="eastAsia" w:ascii="仿宋_GB2312" w:hAnsi="仿宋_GB2312" w:eastAsia="仿宋_GB2312" w:cs="仿宋_GB2312"/>
          <w:sz w:val="30"/>
          <w:szCs w:val="30"/>
          <w:lang w:val="en-US"/>
        </w:rPr>
      </w:pPr>
      <w:r>
        <w:rPr>
          <w:rFonts w:hint="eastAsia" w:ascii="楷体_GB2312" w:hAnsi="楷体_GB2312" w:eastAsia="楷体_GB2312" w:cs="楷体_GB2312"/>
          <w:sz w:val="30"/>
          <w:szCs w:val="30"/>
          <w:lang w:val="en-US" w:eastAsia="zh-CN"/>
        </w:rPr>
        <w:t xml:space="preserve">（二）主动公开范围 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一是规范性文件公开情况。本局今年未制定规范性文件。二是行政发文公开情况。主动公开了我局本年度制定的可公开的行政发文。三是工作动态情况。通过“上海市崇明区退役军人事务局”微信公众号，由专人维护定期发布局重点工作动态，退役军人政策等内容，确保信息传达通畅、及时、高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00" w:firstLineChars="200"/>
        <w:textAlignment w:val="auto"/>
        <w:outlineLvl w:val="9"/>
        <w:rPr>
          <w:rFonts w:hint="eastAsia" w:ascii="仿宋_GB2312" w:hAnsi="仿宋_GB2312" w:eastAsia="仿宋_GB2312" w:cs="仿宋_GB2312"/>
          <w:sz w:val="30"/>
          <w:szCs w:val="30"/>
          <w:lang w:val="en-US"/>
        </w:rPr>
      </w:pPr>
      <w:r>
        <w:rPr>
          <w:rFonts w:hint="eastAsia" w:ascii="楷体_GB2312" w:hAnsi="楷体_GB2312" w:eastAsia="楷体_GB2312" w:cs="楷体_GB2312"/>
          <w:sz w:val="30"/>
          <w:szCs w:val="30"/>
          <w:lang w:val="en-US" w:eastAsia="zh-CN"/>
        </w:rPr>
        <w:t>（三）依申请公开政府信息情况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 xml:space="preserve"> 2020年共受理政府信息公开申请1件，在《条例》和《规定》要求的答复期限内予以答复。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00" w:firstLineChars="200"/>
        <w:textAlignment w:val="auto"/>
        <w:outlineLvl w:val="9"/>
        <w:rPr>
          <w:rFonts w:hint="eastAsia" w:ascii="仿宋_GB2312" w:hAnsi="仿宋_GB2312" w:eastAsia="仿宋_GB2312" w:cs="仿宋_GB2312"/>
          <w:sz w:val="30"/>
          <w:szCs w:val="30"/>
          <w:lang w:val="en-US"/>
        </w:rPr>
      </w:pPr>
      <w:r>
        <w:rPr>
          <w:rFonts w:hint="eastAsia" w:ascii="楷体_GB2312" w:hAnsi="楷体_GB2312" w:eastAsia="楷体_GB2312" w:cs="楷体_GB2312"/>
          <w:sz w:val="30"/>
          <w:szCs w:val="30"/>
          <w:lang w:val="en-US" w:eastAsia="zh-CN"/>
        </w:rPr>
        <w:t>（四）复议、诉讼情况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 xml:space="preserve"> 2020年，本局无因政府信息公开申请行政复议、提起行政诉讼情况。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spacing w:before="0" w:beforeAutospacing="0" w:after="0" w:afterAutospacing="0"/>
        <w:ind w:left="0" w:right="0" w:firstLine="0"/>
        <w:jc w:val="both"/>
        <w:outlineLvl w:val="0"/>
        <w:rPr>
          <w:rFonts w:hint="eastAsia" w:ascii="微软雅黑" w:hAnsi="微软雅黑" w:eastAsia="微软雅黑" w:cs="微软雅黑"/>
          <w:b/>
          <w:bCs w:val="0"/>
          <w:color w:val="000000"/>
          <w:kern w:val="0"/>
          <w:sz w:val="24"/>
          <w:szCs w:val="24"/>
          <w:lang w:val="en-US"/>
        </w:rPr>
      </w:pPr>
      <w:r>
        <w:rPr>
          <w:rFonts w:hint="eastAsia" w:ascii="微软雅黑" w:hAnsi="微软雅黑" w:eastAsia="微软雅黑" w:cs="微软雅黑"/>
          <w:b/>
          <w:bCs w:val="0"/>
          <w:color w:val="333333"/>
          <w:kern w:val="2"/>
          <w:sz w:val="24"/>
          <w:szCs w:val="24"/>
          <w:shd w:val="clear" w:fill="FFFFFF"/>
          <w:lang w:val="en-US" w:eastAsia="zh-CN" w:bidi="ar"/>
        </w:rPr>
        <w:t>主动公开政府信息情况</w:t>
      </w:r>
    </w:p>
    <w:tbl>
      <w:tblPr>
        <w:tblStyle w:val="6"/>
        <w:tblpPr w:leftFromText="180" w:rightFromText="180" w:vertAnchor="text" w:horzAnchor="page" w:tblpX="1376" w:tblpY="735"/>
        <w:tblOverlap w:val="never"/>
        <w:tblW w:w="9732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722"/>
        <w:gridCol w:w="2240"/>
        <w:gridCol w:w="6"/>
        <w:gridCol w:w="1512"/>
        <w:gridCol w:w="2252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973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第二十条第（一）项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5" w:hRule="atLeast"/>
        </w:trPr>
        <w:tc>
          <w:tcPr>
            <w:tcW w:w="3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信息内容</w:t>
            </w:r>
          </w:p>
        </w:tc>
        <w:tc>
          <w:tcPr>
            <w:tcW w:w="2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本年新</w:t>
            </w: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18"/>
                <w:szCs w:val="18"/>
                <w:lang w:val="en-US" w:eastAsia="zh-CN" w:bidi="ar"/>
              </w:rPr>
              <w:t>制作数量</w:t>
            </w:r>
          </w:p>
        </w:tc>
        <w:tc>
          <w:tcPr>
            <w:tcW w:w="15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本年新</w:t>
            </w: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18"/>
                <w:szCs w:val="18"/>
                <w:lang w:val="en-US" w:eastAsia="zh-CN" w:bidi="ar"/>
              </w:rPr>
              <w:t>公开数量</w:t>
            </w:r>
          </w:p>
        </w:tc>
        <w:tc>
          <w:tcPr>
            <w:tcW w:w="2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对外公开总数量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3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规章</w:t>
            </w:r>
          </w:p>
        </w:tc>
        <w:tc>
          <w:tcPr>
            <w:tcW w:w="2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15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2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3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规范性文件</w:t>
            </w:r>
          </w:p>
        </w:tc>
        <w:tc>
          <w:tcPr>
            <w:tcW w:w="2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15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2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973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第二十条第（五）项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3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信息内容</w:t>
            </w:r>
          </w:p>
        </w:tc>
        <w:tc>
          <w:tcPr>
            <w:tcW w:w="2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上一年项目数量</w:t>
            </w:r>
          </w:p>
        </w:tc>
        <w:tc>
          <w:tcPr>
            <w:tcW w:w="15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本年增/减</w:t>
            </w:r>
          </w:p>
        </w:tc>
        <w:tc>
          <w:tcPr>
            <w:tcW w:w="2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处理决定数量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3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行政许可</w:t>
            </w:r>
          </w:p>
        </w:tc>
        <w:tc>
          <w:tcPr>
            <w:tcW w:w="22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2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4" w:hRule="atLeast"/>
        </w:trPr>
        <w:tc>
          <w:tcPr>
            <w:tcW w:w="3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其他对外管理服务事项</w:t>
            </w:r>
          </w:p>
        </w:tc>
        <w:tc>
          <w:tcPr>
            <w:tcW w:w="22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2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973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第二十条第（六）项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3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信息内容</w:t>
            </w:r>
          </w:p>
        </w:tc>
        <w:tc>
          <w:tcPr>
            <w:tcW w:w="2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上一年项目数量</w:t>
            </w:r>
          </w:p>
        </w:tc>
        <w:tc>
          <w:tcPr>
            <w:tcW w:w="15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本年增/减</w:t>
            </w:r>
          </w:p>
        </w:tc>
        <w:tc>
          <w:tcPr>
            <w:tcW w:w="2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处理决定数量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3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行政处罚</w:t>
            </w:r>
          </w:p>
        </w:tc>
        <w:tc>
          <w:tcPr>
            <w:tcW w:w="22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2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3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行政强制</w:t>
            </w:r>
          </w:p>
        </w:tc>
        <w:tc>
          <w:tcPr>
            <w:tcW w:w="22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2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973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第二十条第（八）项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3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信息内容</w:t>
            </w:r>
          </w:p>
        </w:tc>
        <w:tc>
          <w:tcPr>
            <w:tcW w:w="22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上一年项目数量</w:t>
            </w:r>
          </w:p>
        </w:tc>
        <w:tc>
          <w:tcPr>
            <w:tcW w:w="3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本年增/减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3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行政事业性收费</w:t>
            </w:r>
          </w:p>
        </w:tc>
        <w:tc>
          <w:tcPr>
            <w:tcW w:w="22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3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973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第二十条第（九）项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3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信息内容</w:t>
            </w:r>
          </w:p>
        </w:tc>
        <w:tc>
          <w:tcPr>
            <w:tcW w:w="22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采购项目数量</w:t>
            </w:r>
          </w:p>
        </w:tc>
        <w:tc>
          <w:tcPr>
            <w:tcW w:w="3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采购总金额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6" w:hRule="atLeast"/>
        </w:trPr>
        <w:tc>
          <w:tcPr>
            <w:tcW w:w="3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 w:bidi="ar"/>
              </w:rPr>
              <w:t>政府集中采购</w:t>
            </w:r>
          </w:p>
        </w:tc>
        <w:tc>
          <w:tcPr>
            <w:tcW w:w="22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2"/>
                <w:sz w:val="18"/>
                <w:szCs w:val="18"/>
                <w:lang w:val="en-US" w:eastAsia="zh-CN" w:bidi="ar"/>
              </w:rPr>
              <w:t>10</w:t>
            </w:r>
          </w:p>
        </w:tc>
        <w:tc>
          <w:tcPr>
            <w:tcW w:w="3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2"/>
                <w:sz w:val="18"/>
                <w:szCs w:val="18"/>
                <w:lang w:val="en-US" w:eastAsia="zh-CN" w:bidi="ar"/>
              </w:rPr>
              <w:t>171304</w:t>
            </w:r>
          </w:p>
        </w:tc>
      </w:tr>
    </w:tbl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微软雅黑" w:hAnsi="微软雅黑" w:eastAsia="微软雅黑" w:cs="微软雅黑"/>
          <w:b/>
          <w:bCs w:val="0"/>
          <w:color w:val="000000"/>
          <w:sz w:val="28"/>
          <w:szCs w:val="28"/>
          <w:lang w:val="en-US"/>
        </w:rPr>
      </w:pP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spacing w:before="0" w:beforeAutospacing="0" w:after="0" w:afterAutospacing="0"/>
        <w:ind w:left="0" w:right="0" w:firstLine="0"/>
        <w:jc w:val="both"/>
        <w:outlineLvl w:val="0"/>
        <w:rPr>
          <w:rFonts w:hint="eastAsia" w:ascii="微软雅黑" w:hAnsi="微软雅黑" w:eastAsia="微软雅黑" w:cs="微软雅黑"/>
          <w:b/>
          <w:bCs w:val="0"/>
          <w:color w:val="000000"/>
          <w:kern w:val="0"/>
          <w:sz w:val="28"/>
          <w:szCs w:val="28"/>
          <w:lang w:val="en-US"/>
        </w:rPr>
      </w:pPr>
      <w:r>
        <w:rPr>
          <w:rFonts w:hint="eastAsia" w:ascii="微软雅黑" w:hAnsi="微软雅黑" w:eastAsia="微软雅黑" w:cs="微软雅黑"/>
          <w:b/>
          <w:bCs w:val="0"/>
          <w:color w:val="333333"/>
          <w:kern w:val="2"/>
          <w:sz w:val="24"/>
          <w:szCs w:val="24"/>
          <w:shd w:val="clear" w:fill="FFFFFF"/>
          <w:lang w:val="en-US" w:eastAsia="zh-CN" w:bidi="ar"/>
        </w:rPr>
        <w:t>收到和处理政府信息公开申请情况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微软雅黑" w:hAnsi="微软雅黑" w:eastAsia="微软雅黑" w:cs="微软雅黑"/>
          <w:b/>
          <w:bCs w:val="0"/>
          <w:color w:val="000000"/>
          <w:sz w:val="28"/>
          <w:szCs w:val="28"/>
          <w:lang w:val="en-US"/>
        </w:rPr>
      </w:pPr>
    </w:p>
    <w:tbl>
      <w:tblPr>
        <w:tblStyle w:val="6"/>
        <w:tblW w:w="9535" w:type="dxa"/>
        <w:jc w:val="center"/>
        <w:tblInd w:w="-274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15"/>
        <w:gridCol w:w="853"/>
        <w:gridCol w:w="2084"/>
        <w:gridCol w:w="812"/>
        <w:gridCol w:w="870"/>
        <w:gridCol w:w="907"/>
        <w:gridCol w:w="788"/>
        <w:gridCol w:w="864"/>
        <w:gridCol w:w="765"/>
        <w:gridCol w:w="977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552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（本列数据的勾稽关系为：第一项加第二项之和，等于第三项加第四项之和）</w:t>
            </w:r>
          </w:p>
        </w:tc>
        <w:tc>
          <w:tcPr>
            <w:tcW w:w="5983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申请人情况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552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2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自然人</w:t>
            </w:r>
          </w:p>
        </w:tc>
        <w:tc>
          <w:tcPr>
            <w:tcW w:w="4194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法人或其他组织</w:t>
            </w:r>
          </w:p>
        </w:tc>
        <w:tc>
          <w:tcPr>
            <w:tcW w:w="977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总计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552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2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商业企业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科研机构</w:t>
            </w:r>
          </w:p>
        </w:tc>
        <w:tc>
          <w:tcPr>
            <w:tcW w:w="7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社会公益组织</w:t>
            </w:r>
          </w:p>
        </w:tc>
        <w:tc>
          <w:tcPr>
            <w:tcW w:w="86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法律服务机构</w:t>
            </w:r>
          </w:p>
        </w:tc>
        <w:tc>
          <w:tcPr>
            <w:tcW w:w="76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其他</w:t>
            </w:r>
          </w:p>
        </w:tc>
        <w:tc>
          <w:tcPr>
            <w:tcW w:w="977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552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一、本年新收政府信息公开申请数量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552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二、上年结转政府信息公开申请数量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5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三、本年度办理结果</w:t>
            </w:r>
          </w:p>
        </w:tc>
        <w:tc>
          <w:tcPr>
            <w:tcW w:w="2937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（一）予以公开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7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37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（二）部分公开（区分处理的，只计这一情形，不计其他情形）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3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（三）不予公开</w:t>
            </w:r>
          </w:p>
        </w:tc>
        <w:tc>
          <w:tcPr>
            <w:tcW w:w="20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1.属于国家秘密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7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2.其他法律行政法规禁止公开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3.危及“三安全一稳定”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4.保护第三方合法权益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5.属于三类内部事务信息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6.属于四类过程性信息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7.属于行政执法案卷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8.属于行政查询事项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3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（四）无法提供</w:t>
            </w:r>
          </w:p>
        </w:tc>
        <w:tc>
          <w:tcPr>
            <w:tcW w:w="20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1.本机关不掌握相关政府信息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2.没有现成信息需要另行制作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3.补正后申请内容仍不明确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3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（五）不予处理</w:t>
            </w:r>
          </w:p>
        </w:tc>
        <w:tc>
          <w:tcPr>
            <w:tcW w:w="20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1.信访举报投诉类申请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2.重复申请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3.要求提供公开出版物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4.无正当理由大量反复申请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3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5.要求行政机关确认或重新出具已获取信息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37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（六）其他处理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37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（七）总计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552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18"/>
                <w:szCs w:val="18"/>
                <w:lang w:val="en-US" w:eastAsia="zh-CN" w:bidi="ar"/>
              </w:rPr>
              <w:t>四、结转下年度继续办理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2"/>
                <w:sz w:val="18"/>
                <w:szCs w:val="18"/>
                <w:lang w:val="en-US" w:eastAsia="zh-CN" w:bidi="ar"/>
              </w:rPr>
              <w:t>0</w:t>
            </w:r>
          </w:p>
        </w:tc>
      </w:tr>
    </w:tbl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微软雅黑" w:hAnsi="微软雅黑" w:eastAsia="微软雅黑" w:cs="微软雅黑"/>
          <w:lang w:val="en-US"/>
        </w:rPr>
      </w:pPr>
    </w:p>
    <w:p>
      <w:pPr>
        <w:keepNext w:val="0"/>
        <w:keepLines w:val="0"/>
        <w:widowControl w:val="0"/>
        <w:numPr>
          <w:ilvl w:val="0"/>
          <w:numId w:val="1"/>
        </w:numPr>
        <w:suppressLineNumbers w:val="0"/>
        <w:spacing w:before="0" w:beforeAutospacing="0" w:after="0" w:afterAutospacing="0"/>
        <w:ind w:left="0" w:right="0" w:firstLine="0"/>
        <w:jc w:val="both"/>
        <w:outlineLvl w:val="0"/>
        <w:rPr>
          <w:rFonts w:hint="eastAsia" w:ascii="微软雅黑" w:hAnsi="微软雅黑" w:eastAsia="微软雅黑" w:cs="微软雅黑"/>
          <w:b/>
          <w:bCs w:val="0"/>
          <w:color w:val="333333"/>
          <w:sz w:val="24"/>
          <w:szCs w:val="24"/>
          <w:shd w:val="clear" w:fill="FFFFFF"/>
          <w:lang w:val="en-US"/>
        </w:rPr>
      </w:pPr>
      <w:r>
        <w:rPr>
          <w:rFonts w:hint="eastAsia" w:ascii="微软雅黑" w:hAnsi="微软雅黑" w:eastAsia="微软雅黑" w:cs="微软雅黑"/>
          <w:b/>
          <w:bCs w:val="0"/>
          <w:color w:val="333333"/>
          <w:kern w:val="2"/>
          <w:sz w:val="24"/>
          <w:szCs w:val="24"/>
          <w:shd w:val="clear" w:fill="FFFFFF"/>
          <w:lang w:val="en-US" w:eastAsia="zh-CN" w:bidi="ar"/>
        </w:rPr>
        <w:t>政府信息公开行政复议、行政诉讼情况</w:t>
      </w:r>
    </w:p>
    <w:tbl>
      <w:tblPr>
        <w:tblStyle w:val="7"/>
        <w:tblpPr w:leftFromText="180" w:rightFromText="180" w:vertAnchor="text" w:horzAnchor="page" w:tblpXSpec="center" w:tblpY="102"/>
        <w:tblOverlap w:val="never"/>
        <w:tblW w:w="958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9"/>
        <w:gridCol w:w="638"/>
        <w:gridCol w:w="639"/>
        <w:gridCol w:w="639"/>
        <w:gridCol w:w="638"/>
        <w:gridCol w:w="639"/>
        <w:gridCol w:w="638"/>
        <w:gridCol w:w="639"/>
        <w:gridCol w:w="639"/>
        <w:gridCol w:w="638"/>
        <w:gridCol w:w="638"/>
        <w:gridCol w:w="639"/>
        <w:gridCol w:w="639"/>
        <w:gridCol w:w="639"/>
        <w:gridCol w:w="6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1" w:hRule="atLeast"/>
        </w:trPr>
        <w:tc>
          <w:tcPr>
            <w:tcW w:w="319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333333"/>
                <w:kern w:val="2"/>
                <w:sz w:val="18"/>
                <w:szCs w:val="18"/>
                <w:shd w:val="clear" w:fill="FFFFFF"/>
                <w:lang w:val="en-US" w:eastAsia="zh-CN" w:bidi="ar"/>
              </w:rPr>
              <w:t>行政复议</w:t>
            </w:r>
          </w:p>
        </w:tc>
        <w:tc>
          <w:tcPr>
            <w:tcW w:w="6389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kern w:val="2"/>
                <w:sz w:val="18"/>
                <w:szCs w:val="18"/>
                <w:lang w:val="en-US" w:eastAsia="zh-CN" w:bidi="ar"/>
              </w:rPr>
              <w:t>行政诉讼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679" w:hRule="atLeast"/>
        </w:trPr>
        <w:tc>
          <w:tcPr>
            <w:tcW w:w="63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结果维持</w:t>
            </w:r>
          </w:p>
        </w:tc>
        <w:tc>
          <w:tcPr>
            <w:tcW w:w="63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结果纠正</w:t>
            </w:r>
          </w:p>
        </w:tc>
        <w:tc>
          <w:tcPr>
            <w:tcW w:w="63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其他结果</w:t>
            </w:r>
          </w:p>
        </w:tc>
        <w:tc>
          <w:tcPr>
            <w:tcW w:w="63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尚未审结</w:t>
            </w:r>
          </w:p>
        </w:tc>
        <w:tc>
          <w:tcPr>
            <w:tcW w:w="63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总计</w:t>
            </w:r>
          </w:p>
        </w:tc>
        <w:tc>
          <w:tcPr>
            <w:tcW w:w="319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333333"/>
                <w:kern w:val="2"/>
                <w:sz w:val="18"/>
                <w:szCs w:val="18"/>
                <w:shd w:val="clear" w:fill="FFFFFF"/>
                <w:lang w:val="en-US" w:eastAsia="zh-CN" w:bidi="ar"/>
              </w:rPr>
              <w:t>未经复议直接起诉</w:t>
            </w:r>
          </w:p>
        </w:tc>
        <w:tc>
          <w:tcPr>
            <w:tcW w:w="319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333333"/>
                <w:kern w:val="2"/>
                <w:sz w:val="18"/>
                <w:szCs w:val="18"/>
                <w:shd w:val="clear" w:fill="FFFFFF"/>
                <w:lang w:val="en-US" w:eastAsia="zh-CN" w:bidi="ar"/>
              </w:rPr>
              <w:t>复议后起诉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结果维持</w:t>
            </w:r>
          </w:p>
        </w:tc>
        <w:tc>
          <w:tcPr>
            <w:tcW w:w="6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结果纠正</w:t>
            </w:r>
          </w:p>
        </w:tc>
        <w:tc>
          <w:tcPr>
            <w:tcW w:w="6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其他结果</w:t>
            </w:r>
          </w:p>
        </w:tc>
        <w:tc>
          <w:tcPr>
            <w:tcW w:w="6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尚未审结</w:t>
            </w:r>
          </w:p>
        </w:tc>
        <w:tc>
          <w:tcPr>
            <w:tcW w:w="6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总计</w:t>
            </w:r>
          </w:p>
        </w:tc>
        <w:tc>
          <w:tcPr>
            <w:tcW w:w="6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结果维持</w:t>
            </w:r>
          </w:p>
        </w:tc>
        <w:tc>
          <w:tcPr>
            <w:tcW w:w="6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结果纠正</w:t>
            </w:r>
          </w:p>
        </w:tc>
        <w:tc>
          <w:tcPr>
            <w:tcW w:w="6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其他结果</w:t>
            </w:r>
          </w:p>
        </w:tc>
        <w:tc>
          <w:tcPr>
            <w:tcW w:w="6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尚未审结</w:t>
            </w:r>
          </w:p>
        </w:tc>
        <w:tc>
          <w:tcPr>
            <w:tcW w:w="6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总计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</w:trPr>
        <w:tc>
          <w:tcPr>
            <w:tcW w:w="6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333333"/>
                <w:kern w:val="2"/>
                <w:sz w:val="18"/>
                <w:szCs w:val="18"/>
                <w:shd w:val="clear" w:fill="FFFFFF"/>
                <w:lang w:val="en-US" w:eastAsia="zh-CN" w:bidi="ar"/>
              </w:rPr>
              <w:t>0</w:t>
            </w:r>
          </w:p>
        </w:tc>
        <w:tc>
          <w:tcPr>
            <w:tcW w:w="6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333333"/>
                <w:kern w:val="2"/>
                <w:sz w:val="18"/>
                <w:szCs w:val="18"/>
                <w:shd w:val="clear" w:fill="FFFFFF"/>
                <w:lang w:val="en-US" w:eastAsia="zh-CN" w:bidi="ar"/>
              </w:rPr>
              <w:t>0</w:t>
            </w:r>
          </w:p>
        </w:tc>
        <w:tc>
          <w:tcPr>
            <w:tcW w:w="6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333333"/>
                <w:kern w:val="2"/>
                <w:sz w:val="18"/>
                <w:szCs w:val="18"/>
                <w:shd w:val="clear" w:fill="FFFFFF"/>
                <w:lang w:val="en-US" w:eastAsia="zh-CN" w:bidi="ar"/>
              </w:rPr>
              <w:t>0</w:t>
            </w:r>
          </w:p>
        </w:tc>
        <w:tc>
          <w:tcPr>
            <w:tcW w:w="6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333333"/>
                <w:kern w:val="2"/>
                <w:sz w:val="18"/>
                <w:szCs w:val="18"/>
                <w:shd w:val="clear" w:fill="FFFFFF"/>
                <w:lang w:val="en-US" w:eastAsia="zh-CN" w:bidi="ar"/>
              </w:rPr>
              <w:t>0</w:t>
            </w:r>
          </w:p>
        </w:tc>
        <w:tc>
          <w:tcPr>
            <w:tcW w:w="6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333333"/>
                <w:kern w:val="2"/>
                <w:sz w:val="18"/>
                <w:szCs w:val="18"/>
                <w:shd w:val="clear" w:fill="FFFFFF"/>
                <w:lang w:val="en-US" w:eastAsia="zh-CN" w:bidi="ar"/>
              </w:rPr>
              <w:t>0</w:t>
            </w:r>
          </w:p>
        </w:tc>
        <w:tc>
          <w:tcPr>
            <w:tcW w:w="6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333333"/>
                <w:kern w:val="2"/>
                <w:sz w:val="18"/>
                <w:szCs w:val="18"/>
                <w:shd w:val="clear" w:fill="FFFFFF"/>
                <w:lang w:val="en-US" w:eastAsia="zh-CN" w:bidi="ar"/>
              </w:rPr>
              <w:t>0</w:t>
            </w:r>
          </w:p>
        </w:tc>
        <w:tc>
          <w:tcPr>
            <w:tcW w:w="6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333333"/>
                <w:kern w:val="2"/>
                <w:sz w:val="18"/>
                <w:szCs w:val="18"/>
                <w:shd w:val="clear" w:fill="FFFFFF"/>
                <w:lang w:val="en-US" w:eastAsia="zh-CN" w:bidi="ar"/>
              </w:rPr>
              <w:t>0</w:t>
            </w:r>
          </w:p>
        </w:tc>
        <w:tc>
          <w:tcPr>
            <w:tcW w:w="6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333333"/>
                <w:kern w:val="2"/>
                <w:sz w:val="18"/>
                <w:szCs w:val="18"/>
                <w:shd w:val="clear" w:fill="FFFFFF"/>
                <w:lang w:val="en-US" w:eastAsia="zh-CN" w:bidi="ar"/>
              </w:rPr>
              <w:t>0</w:t>
            </w:r>
          </w:p>
        </w:tc>
        <w:tc>
          <w:tcPr>
            <w:tcW w:w="6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333333"/>
                <w:kern w:val="2"/>
                <w:sz w:val="18"/>
                <w:szCs w:val="18"/>
                <w:shd w:val="clear" w:fill="FFFFFF"/>
                <w:lang w:val="en-US" w:eastAsia="zh-CN" w:bidi="ar"/>
              </w:rPr>
              <w:t>0</w:t>
            </w:r>
          </w:p>
        </w:tc>
        <w:tc>
          <w:tcPr>
            <w:tcW w:w="6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333333"/>
                <w:kern w:val="2"/>
                <w:sz w:val="18"/>
                <w:szCs w:val="18"/>
                <w:shd w:val="clear" w:fill="FFFFFF"/>
                <w:lang w:val="en-US" w:eastAsia="zh-CN" w:bidi="ar"/>
              </w:rPr>
              <w:t>0</w:t>
            </w:r>
          </w:p>
        </w:tc>
        <w:tc>
          <w:tcPr>
            <w:tcW w:w="6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333333"/>
                <w:kern w:val="2"/>
                <w:sz w:val="18"/>
                <w:szCs w:val="18"/>
                <w:shd w:val="clear" w:fill="FFFFFF"/>
                <w:lang w:val="en-US" w:eastAsia="zh-CN" w:bidi="ar"/>
              </w:rPr>
              <w:t>0</w:t>
            </w:r>
          </w:p>
        </w:tc>
        <w:tc>
          <w:tcPr>
            <w:tcW w:w="6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333333"/>
                <w:kern w:val="2"/>
                <w:sz w:val="18"/>
                <w:szCs w:val="18"/>
                <w:shd w:val="clear" w:fill="FFFFFF"/>
                <w:lang w:val="en-US" w:eastAsia="zh-CN" w:bidi="ar"/>
              </w:rPr>
              <w:t>0</w:t>
            </w:r>
          </w:p>
        </w:tc>
        <w:tc>
          <w:tcPr>
            <w:tcW w:w="6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333333"/>
                <w:kern w:val="2"/>
                <w:sz w:val="18"/>
                <w:szCs w:val="18"/>
                <w:shd w:val="clear" w:fill="FFFFFF"/>
                <w:lang w:val="en-US" w:eastAsia="zh-CN" w:bidi="ar"/>
              </w:rPr>
              <w:t>0</w:t>
            </w:r>
          </w:p>
        </w:tc>
        <w:tc>
          <w:tcPr>
            <w:tcW w:w="6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333333"/>
                <w:kern w:val="2"/>
                <w:sz w:val="18"/>
                <w:szCs w:val="18"/>
                <w:shd w:val="clear" w:fill="FFFFFF"/>
                <w:lang w:val="en-US" w:eastAsia="zh-CN" w:bidi="ar"/>
              </w:rPr>
              <w:t>0</w:t>
            </w:r>
          </w:p>
        </w:tc>
        <w:tc>
          <w:tcPr>
            <w:tcW w:w="6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微软雅黑" w:hAnsi="微软雅黑" w:eastAsia="微软雅黑" w:cs="微软雅黑"/>
                <w:bCs/>
                <w:color w:val="333333"/>
                <w:sz w:val="18"/>
                <w:szCs w:val="18"/>
                <w:shd w:val="clear" w:fill="FFFFFF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Cs/>
                <w:color w:val="333333"/>
                <w:kern w:val="2"/>
                <w:sz w:val="18"/>
                <w:szCs w:val="18"/>
                <w:shd w:val="clear" w:fill="FFFFFF"/>
                <w:lang w:val="en-US" w:eastAsia="zh-CN" w:bidi="ar"/>
              </w:rPr>
              <w:t>0</w:t>
            </w:r>
          </w:p>
        </w:tc>
      </w:tr>
    </w:tbl>
    <w:p>
      <w:pPr>
        <w:keepNext w:val="0"/>
        <w:keepLines w:val="0"/>
        <w:widowControl w:val="0"/>
        <w:numPr>
          <w:ilvl w:val="0"/>
          <w:numId w:val="1"/>
        </w:numPr>
        <w:suppressLineNumbers w:val="0"/>
        <w:spacing w:before="0" w:beforeAutospacing="0" w:after="0" w:afterAutospacing="0"/>
        <w:ind w:left="0" w:right="0" w:firstLine="0"/>
        <w:jc w:val="both"/>
        <w:outlineLvl w:val="0"/>
        <w:rPr>
          <w:rFonts w:hint="eastAsia" w:ascii="微软雅黑" w:hAnsi="微软雅黑" w:eastAsia="微软雅黑" w:cs="微软雅黑"/>
          <w:b/>
          <w:bCs w:val="0"/>
          <w:color w:val="333333"/>
          <w:sz w:val="24"/>
          <w:szCs w:val="24"/>
          <w:shd w:val="clear" w:fill="FFFFFF"/>
          <w:lang w:val="en-US"/>
        </w:rPr>
      </w:pPr>
      <w:r>
        <w:rPr>
          <w:rFonts w:hint="eastAsia" w:ascii="微软雅黑" w:hAnsi="微软雅黑" w:eastAsia="微软雅黑" w:cs="微软雅黑"/>
          <w:b/>
          <w:bCs w:val="0"/>
          <w:color w:val="333333"/>
          <w:kern w:val="2"/>
          <w:sz w:val="24"/>
          <w:szCs w:val="24"/>
          <w:shd w:val="clear" w:fill="FFFFFF"/>
          <w:lang w:val="en-US" w:eastAsia="zh-CN" w:bidi="ar"/>
        </w:rPr>
        <w:t>存在的主要问题及改进情况</w:t>
      </w:r>
    </w:p>
    <w:p>
      <w:pPr>
        <w:keepNext w:val="0"/>
        <w:keepLines w:val="0"/>
        <w:pageBreakBefore w:val="0"/>
        <w:widowControl w:val="0"/>
        <w:numPr>
          <w:numId w:val="0"/>
        </w:numPr>
        <w:suppressLineNumbers w:val="0"/>
        <w:tabs>
          <w:tab w:val="left" w:pos="329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leftChars="0" w:right="0" w:rightChars="0" w:firstLine="600" w:firstLineChars="200"/>
        <w:jc w:val="both"/>
        <w:textAlignment w:val="auto"/>
        <w:outlineLvl w:val="0"/>
        <w:rPr>
          <w:rFonts w:hint="eastAsia" w:ascii="仿宋_GB2312" w:hAnsi="Calibri" w:eastAsia="仿宋_GB2312" w:cs="仿宋_GB2312"/>
          <w:kern w:val="2"/>
          <w:sz w:val="30"/>
          <w:szCs w:val="30"/>
          <w:lang w:val="en-US" w:eastAsia="zh-CN" w:bidi="ar"/>
        </w:rPr>
      </w:pPr>
      <w:r>
        <w:rPr>
          <w:rFonts w:hint="eastAsia" w:ascii="仿宋_GB2312" w:hAnsi="Calibri" w:eastAsia="仿宋_GB2312" w:cs="仿宋_GB2312"/>
          <w:kern w:val="2"/>
          <w:sz w:val="30"/>
          <w:szCs w:val="30"/>
          <w:lang w:val="en-US" w:eastAsia="zh-CN" w:bidi="ar"/>
        </w:rPr>
        <w:t>2020年以来，崇明区退役军人事务局政府信息公开工作在服务群众，加强沟通等方面取得了一定的进步，同时还存在一些不足：一是政府信息公开的内部工作制度有待进一步完善，信息公开工作的侧重点需不断调整，信息公开的及时性有待进一步加强；二是由于退役军人事务涉军的特殊性和保密性，很多政府涉军信息属于保密信息不予公开，导致社会公众对退役军人事务不甚了解，以至于社会公众对政府信息公开的参与度不高，前来咨询、查阅和申请的人数不多。针对存在的不足之处，我局将在新的一年内积极探索政府信息公开的新出路，不断调整政府信息公开的范围。一是要加强政府信息公开工作规范化建设。将进一步加强操作规范和长效机制建设，不断提高工作人员的业务能力，提高为民服务的质量和水平，并逐步在接待、受理、答复、处理过程中形成规范的用语和处理程序；二是要增补更新公开信息。将进一步梳理新发布的文件，提高信息公开的时效性，尽力完善和充实主动公开的政府信息内容。</w:t>
      </w:r>
    </w:p>
    <w:p>
      <w:pPr>
        <w:keepNext w:val="0"/>
        <w:keepLines w:val="0"/>
        <w:widowControl w:val="0"/>
        <w:numPr>
          <w:ilvl w:val="0"/>
          <w:numId w:val="1"/>
        </w:numPr>
        <w:suppressLineNumbers w:val="0"/>
        <w:spacing w:before="0" w:beforeAutospacing="0" w:after="0" w:afterAutospacing="0"/>
        <w:ind w:left="0" w:right="0" w:firstLine="0"/>
        <w:jc w:val="both"/>
        <w:outlineLvl w:val="0"/>
        <w:rPr>
          <w:rFonts w:hint="eastAsia" w:ascii="微软雅黑" w:hAnsi="微软雅黑" w:eastAsia="微软雅黑" w:cs="微软雅黑"/>
          <w:b/>
          <w:bCs w:val="0"/>
          <w:color w:val="333333"/>
          <w:kern w:val="2"/>
          <w:sz w:val="24"/>
          <w:szCs w:val="24"/>
          <w:shd w:val="clear" w:fill="FFFFFF"/>
          <w:lang w:val="en-US" w:eastAsia="zh-CN" w:bidi="ar"/>
        </w:rPr>
      </w:pPr>
      <w:r>
        <w:rPr>
          <w:rFonts w:hint="eastAsia" w:ascii="微软雅黑" w:hAnsi="微软雅黑" w:eastAsia="微软雅黑" w:cs="微软雅黑"/>
          <w:b/>
          <w:bCs w:val="0"/>
          <w:color w:val="333333"/>
          <w:kern w:val="2"/>
          <w:sz w:val="24"/>
          <w:szCs w:val="24"/>
          <w:shd w:val="clear" w:fill="FFFFFF"/>
          <w:lang w:val="en-US" w:eastAsia="zh-CN" w:bidi="ar"/>
        </w:rPr>
        <w:t>其他需要报告的事项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微软雅黑" w:hAnsi="微软雅黑" w:eastAsia="微软雅黑" w:cs="微软雅黑"/>
          <w:bCs/>
          <w:color w:val="333333"/>
          <w:sz w:val="18"/>
          <w:szCs w:val="18"/>
          <w:shd w:val="clear" w:fill="FFFFFF"/>
          <w:lang w:val="en-US"/>
        </w:rPr>
      </w:pPr>
      <w:r>
        <w:rPr>
          <w:rFonts w:hint="eastAsia" w:ascii="微软雅黑" w:hAnsi="微软雅黑" w:eastAsia="微软雅黑" w:cs="微软雅黑"/>
          <w:bCs/>
          <w:color w:val="333333"/>
          <w:kern w:val="2"/>
          <w:sz w:val="18"/>
          <w:szCs w:val="18"/>
          <w:shd w:val="clear" w:fill="FFFFFF"/>
          <w:lang w:val="en-US" w:eastAsia="zh-CN" w:bidi="ar"/>
        </w:rPr>
        <w:t>无</w:t>
      </w:r>
    </w:p>
    <w:p/>
    <w:sectPr>
      <w:pgSz w:w="12240" w:h="15840"/>
      <w:pgMar w:top="1440" w:right="1800" w:bottom="1440" w:left="1800" w:header="720" w:footer="720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B18D866"/>
    <w:multiLevelType w:val="multilevel"/>
    <w:tmpl w:val="FB18D866"/>
    <w:lvl w:ilvl="0" w:tentative="0">
      <w:start w:val="1"/>
      <w:numFmt w:val="chineseCounting"/>
      <w:suff w:val="nothing"/>
      <w:lvlText w:val="%1、"/>
      <w:lvlJc w:val="left"/>
      <w:pPr>
        <w:ind w:left="0" w:firstLine="0"/>
      </w:p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firstLine="65176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firstLine="65176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firstLine="65176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firstLine="65176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firstLine="65176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firstLine="65176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firstLine="65176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firstLine="65176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8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52173EF"/>
    <w:rsid w:val="051B463E"/>
    <w:rsid w:val="052173EF"/>
    <w:rsid w:val="16224663"/>
    <w:rsid w:val="2142567D"/>
    <w:rsid w:val="3CB44E79"/>
    <w:rsid w:val="40562E52"/>
    <w:rsid w:val="4C925177"/>
    <w:rsid w:val="5E5101EE"/>
    <w:rsid w:val="6F0D3F54"/>
    <w:rsid w:val="7D950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FollowedHyperlink"/>
    <w:basedOn w:val="3"/>
    <w:qFormat/>
    <w:uiPriority w:val="0"/>
    <w:rPr>
      <w:color w:val="333333"/>
      <w:u w:val="none"/>
    </w:rPr>
  </w:style>
  <w:style w:type="character" w:styleId="5">
    <w:name w:val="Hyperlink"/>
    <w:basedOn w:val="3"/>
    <w:qFormat/>
    <w:uiPriority w:val="0"/>
    <w:rPr>
      <w:color w:val="333333"/>
      <w:u w:val="none"/>
    </w:rPr>
  </w:style>
  <w:style w:type="table" w:styleId="7">
    <w:name w:val="Table Grid"/>
    <w:basedOn w:val="6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cs="Times New Roman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c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tcBorders>
    </w:tcPr>
  </w:style>
  <w:style w:type="character" w:customStyle="1" w:styleId="8">
    <w:name w:val="zw_fl_td_l"/>
    <w:basedOn w:val="3"/>
    <w:qFormat/>
    <w:uiPriority w:val="0"/>
  </w:style>
  <w:style w:type="character" w:customStyle="1" w:styleId="9">
    <w:name w:val="ly_zhu_first_title"/>
    <w:basedOn w:val="3"/>
    <w:qFormat/>
    <w:uiPriority w:val="0"/>
    <w:rPr>
      <w:color w:val="1B5D1B"/>
      <w:sz w:val="27"/>
      <w:szCs w:val="27"/>
    </w:rPr>
  </w:style>
  <w:style w:type="character" w:customStyle="1" w:styleId="10">
    <w:name w:val="hover40"/>
    <w:basedOn w:val="3"/>
    <w:qFormat/>
    <w:uiPriority w:val="0"/>
    <w:rPr>
      <w:bdr w:val="single" w:color="1B5D1B" w:sz="36" w:space="0"/>
    </w:rPr>
  </w:style>
  <w:style w:type="character" w:customStyle="1" w:styleId="11">
    <w:name w:val="hover41"/>
    <w:basedOn w:val="3"/>
    <w:qFormat/>
    <w:uiPriority w:val="0"/>
    <w:rPr>
      <w:color w:val="34AE45"/>
    </w:rPr>
  </w:style>
  <w:style w:type="character" w:customStyle="1" w:styleId="12">
    <w:name w:val="hover42"/>
    <w:basedOn w:val="3"/>
    <w:qFormat/>
    <w:uiPriority w:val="0"/>
    <w:rPr>
      <w:color w:val="34AE45"/>
    </w:rPr>
  </w:style>
  <w:style w:type="character" w:customStyle="1" w:styleId="13">
    <w:name w:val="hover43"/>
    <w:basedOn w:val="3"/>
    <w:qFormat/>
    <w:uiPriority w:val="0"/>
    <w:rPr>
      <w:color w:val="5FB878"/>
    </w:rPr>
  </w:style>
  <w:style w:type="character" w:customStyle="1" w:styleId="14">
    <w:name w:val="hover44"/>
    <w:basedOn w:val="3"/>
    <w:qFormat/>
    <w:uiPriority w:val="0"/>
    <w:rPr>
      <w:color w:val="5FB878"/>
    </w:rPr>
  </w:style>
  <w:style w:type="character" w:customStyle="1" w:styleId="15">
    <w:name w:val="hover45"/>
    <w:basedOn w:val="3"/>
    <w:qFormat/>
    <w:uiPriority w:val="0"/>
    <w:rPr>
      <w:color w:val="FFFFFF"/>
    </w:rPr>
  </w:style>
  <w:style w:type="character" w:customStyle="1" w:styleId="16">
    <w:name w:val="zw_cirimg"/>
    <w:basedOn w:val="3"/>
    <w:qFormat/>
    <w:uiPriority w:val="0"/>
  </w:style>
  <w:style w:type="character" w:customStyle="1" w:styleId="17">
    <w:name w:val="zw_name"/>
    <w:basedOn w:val="3"/>
    <w:qFormat/>
    <w:uiPriority w:val="0"/>
  </w:style>
  <w:style w:type="character" w:customStyle="1" w:styleId="18">
    <w:name w:val="logo"/>
    <w:basedOn w:val="3"/>
    <w:qFormat/>
    <w:uiPriority w:val="0"/>
    <w:rPr>
      <w:b/>
      <w:sz w:val="45"/>
      <w:szCs w:val="45"/>
    </w:rPr>
  </w:style>
  <w:style w:type="character" w:customStyle="1" w:styleId="19">
    <w:name w:val="foot_img01"/>
    <w:basedOn w:val="3"/>
    <w:qFormat/>
    <w:uiPriority w:val="0"/>
  </w:style>
  <w:style w:type="character" w:customStyle="1" w:styleId="20">
    <w:name w:val="foot_img02"/>
    <w:basedOn w:val="3"/>
    <w:qFormat/>
    <w:uiPriority w:val="0"/>
  </w:style>
  <w:style w:type="character" w:customStyle="1" w:styleId="21">
    <w:name w:val="zw_spec_btn"/>
    <w:basedOn w:val="3"/>
    <w:qFormat/>
    <w:uiPriority w:val="0"/>
  </w:style>
  <w:style w:type="character" w:customStyle="1" w:styleId="22">
    <w:name w:val="zw_cirname"/>
    <w:basedOn w:val="3"/>
    <w:qFormat/>
    <w:uiPriority w:val="0"/>
  </w:style>
  <w:style w:type="character" w:customStyle="1" w:styleId="23">
    <w:name w:val="hd_icon01_word"/>
    <w:basedOn w:val="3"/>
    <w:qFormat/>
    <w:uiPriority w:val="0"/>
    <w:rPr>
      <w:color w:val="FFFFFF"/>
    </w:rPr>
  </w:style>
  <w:style w:type="character" w:customStyle="1" w:styleId="24">
    <w:name w:val="hd_icon01_word1"/>
    <w:basedOn w:val="3"/>
    <w:qFormat/>
    <w:uiPriority w:val="0"/>
    <w:rPr>
      <w:color w:val="FFFFFF"/>
    </w:rPr>
  </w:style>
  <w:style w:type="character" w:customStyle="1" w:styleId="25">
    <w:name w:val="zt_pop_title01"/>
    <w:basedOn w:val="3"/>
    <w:qFormat/>
    <w:uiPriority w:val="0"/>
    <w:rPr>
      <w:color w:val="FFFFFF"/>
      <w:sz w:val="27"/>
      <w:szCs w:val="27"/>
      <w:shd w:val="clear" w:fill="31C354"/>
    </w:rPr>
  </w:style>
  <w:style w:type="character" w:customStyle="1" w:styleId="26">
    <w:name w:val="hd_name"/>
    <w:basedOn w:val="3"/>
    <w:qFormat/>
    <w:uiPriority w:val="0"/>
    <w:rPr>
      <w:color w:val="1B5D1B"/>
      <w:sz w:val="24"/>
      <w:szCs w:val="24"/>
    </w:rPr>
  </w:style>
  <w:style w:type="character" w:customStyle="1" w:styleId="27">
    <w:name w:val="hd_name1"/>
    <w:basedOn w:val="3"/>
    <w:qFormat/>
    <w:uiPriority w:val="0"/>
    <w:rPr>
      <w:color w:val="1B5D1B"/>
      <w:sz w:val="24"/>
      <w:szCs w:val="24"/>
    </w:rPr>
  </w:style>
  <w:style w:type="character" w:customStyle="1" w:styleId="28">
    <w:name w:val="hd_icon01_img01"/>
    <w:basedOn w:val="3"/>
    <w:qFormat/>
    <w:uiPriority w:val="0"/>
  </w:style>
  <w:style w:type="character" w:customStyle="1" w:styleId="29">
    <w:name w:val="hd_icon01_img011"/>
    <w:basedOn w:val="3"/>
    <w:qFormat/>
    <w:uiPriority w:val="0"/>
  </w:style>
  <w:style w:type="character" w:customStyle="1" w:styleId="30">
    <w:name w:val="zw_img"/>
    <w:basedOn w:val="3"/>
    <w:qFormat/>
    <w:uiPriority w:val="0"/>
  </w:style>
  <w:style w:type="character" w:customStyle="1" w:styleId="31">
    <w:name w:val="zt_pop_circle"/>
    <w:basedOn w:val="3"/>
    <w:qFormat/>
    <w:uiPriority w:val="0"/>
    <w:rPr>
      <w:shd w:val="clear" w:fill="31C354"/>
    </w:rPr>
  </w:style>
  <w:style w:type="character" w:customStyle="1" w:styleId="32">
    <w:name w:val="zw_cirimg01"/>
    <w:basedOn w:val="3"/>
    <w:qFormat/>
    <w:uiPriority w:val="0"/>
  </w:style>
  <w:style w:type="character" w:customStyle="1" w:styleId="33">
    <w:name w:val="zw_fl_td_r"/>
    <w:basedOn w:val="3"/>
    <w:qFormat/>
    <w:uiPriority w:val="0"/>
  </w:style>
  <w:style w:type="character" w:customStyle="1" w:styleId="34">
    <w:name w:val="hd_rely"/>
    <w:basedOn w:val="3"/>
    <w:qFormat/>
    <w:uiPriority w:val="0"/>
    <w:rPr>
      <w:color w:val="589A63"/>
      <w:bdr w:val="single" w:color="EEEEEE" w:sz="6" w:space="0"/>
    </w:rPr>
  </w:style>
  <w:style w:type="character" w:customStyle="1" w:styleId="35">
    <w:name w:val="hd_icon01_img02"/>
    <w:basedOn w:val="3"/>
    <w:qFormat/>
    <w:uiPriority w:val="0"/>
  </w:style>
  <w:style w:type="character" w:customStyle="1" w:styleId="36">
    <w:name w:val="zt_pop_cirbar01"/>
    <w:basedOn w:val="3"/>
    <w:qFormat/>
    <w:uiPriority w:val="0"/>
    <w:rPr>
      <w:shd w:val="clear" w:fill="7FDB96"/>
    </w:rPr>
  </w:style>
  <w:style w:type="character" w:customStyle="1" w:styleId="37">
    <w:name w:val="zt_pop_cirbar02"/>
    <w:basedOn w:val="3"/>
    <w:qFormat/>
    <w:uiPriority w:val="0"/>
    <w:rPr>
      <w:shd w:val="clear" w:fill="7FDB96"/>
    </w:rPr>
  </w:style>
  <w:style w:type="character" w:customStyle="1" w:styleId="38">
    <w:name w:val="zt_pop_cirname"/>
    <w:basedOn w:val="3"/>
    <w:qFormat/>
    <w:uiPriority w:val="0"/>
    <w:rPr>
      <w:color w:val="1B5D1B"/>
      <w:sz w:val="18"/>
      <w:szCs w:val="18"/>
      <w:shd w:val="clear" w:fill="C2EFCA"/>
    </w:rPr>
  </w:style>
  <w:style w:type="character" w:customStyle="1" w:styleId="39">
    <w:name w:val="zw_spec_add"/>
    <w:basedOn w:val="3"/>
    <w:qFormat/>
    <w:uiPriority w:val="0"/>
  </w:style>
  <w:style w:type="character" w:customStyle="1" w:styleId="40">
    <w:name w:val="zw_spec_word"/>
    <w:basedOn w:val="3"/>
    <w:qFormat/>
    <w:uiPriority w:val="0"/>
  </w:style>
  <w:style w:type="character" w:customStyle="1" w:styleId="41">
    <w:name w:val="zw_spec_ipt"/>
    <w:basedOn w:val="3"/>
    <w:qFormat/>
    <w:uiPriority w:val="0"/>
    <w:rPr>
      <w:bdr w:val="single" w:color="DEDEDE" w:sz="6" w:space="0"/>
    </w:rPr>
  </w:style>
  <w:style w:type="character" w:customStyle="1" w:styleId="42">
    <w:name w:val="layui-layer-tabnow"/>
    <w:basedOn w:val="3"/>
    <w:qFormat/>
    <w:uiPriority w:val="0"/>
    <w:rPr>
      <w:bdr w:val="single" w:color="CCCCCC" w:sz="6" w:space="0"/>
      <w:shd w:val="clear" w:fill="FFFFFF"/>
    </w:rPr>
  </w:style>
  <w:style w:type="character" w:customStyle="1" w:styleId="43">
    <w:name w:val="first-child"/>
    <w:basedOn w:val="3"/>
    <w:qFormat/>
    <w:uiPriority w:val="0"/>
  </w:style>
  <w:style w:type="character" w:customStyle="1" w:styleId="44">
    <w:name w:val="bsharetext"/>
    <w:basedOn w:val="3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上海市崇明区港西镇人民政府</Company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2021-01-20T06:07:00Z</dcterms:created>
  <dc:creator>zy</dc:creator>
  <cp:lastModifiedBy>zy</cp:lastModifiedBy>
  <dcterms:modified xsi:type="dcterms:W3CDTF">2021-01-20T07:21:15Z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